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48" w:rsidRPr="00502C67" w:rsidRDefault="00281348" w:rsidP="00281348">
      <w:pPr>
        <w:pStyle w:val="c25"/>
        <w:rPr>
          <w:rStyle w:val="c1"/>
          <w:sz w:val="28"/>
          <w:szCs w:val="28"/>
        </w:rPr>
      </w:pPr>
    </w:p>
    <w:p w:rsidR="00281348" w:rsidRPr="00AC57D6" w:rsidRDefault="00281348" w:rsidP="00281348">
      <w:pPr>
        <w:spacing w:before="20"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AC57D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Ащенкова</w:t>
      </w:r>
      <w:proofErr w:type="spellEnd"/>
      <w:r w:rsidRPr="00AC57D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 А.</w:t>
      </w:r>
    </w:p>
    <w:p w:rsidR="00281348" w:rsidRPr="00AC57D6" w:rsidRDefault="00281348" w:rsidP="00281348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C57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литературы,</w:t>
      </w:r>
    </w:p>
    <w:p w:rsidR="00281348" w:rsidRPr="00AC57D6" w:rsidRDefault="00281348" w:rsidP="00281348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7D6">
        <w:rPr>
          <w:rFonts w:ascii="Times New Roman" w:eastAsia="Calibri" w:hAnsi="Times New Roman" w:cs="Times New Roman"/>
          <w:sz w:val="28"/>
          <w:szCs w:val="28"/>
        </w:rPr>
        <w:t>МАОУ Центр образования № 47,</w:t>
      </w:r>
    </w:p>
    <w:p w:rsidR="00281348" w:rsidRPr="00AC57D6" w:rsidRDefault="00281348" w:rsidP="00281348">
      <w:pPr>
        <w:spacing w:before="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57D6">
        <w:rPr>
          <w:rFonts w:ascii="Times New Roman" w:eastAsia="Calibri" w:hAnsi="Times New Roman" w:cs="Times New Roman"/>
          <w:sz w:val="28"/>
          <w:szCs w:val="28"/>
        </w:rPr>
        <w:t>г. Иркутск</w:t>
      </w:r>
    </w:p>
    <w:p w:rsidR="00281348" w:rsidRPr="00AC57D6" w:rsidRDefault="00281348" w:rsidP="00281348">
      <w:pPr>
        <w:spacing w:before="2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ИСПОЛЬЗОВАНИЕ КЕЙС - ТЕХНОЛОГИИ НА УРОКАХ ЛИТЕРАТУРЫ КАК СПОСОБ РЕАЛИЗАЦИИ ДЕЯТЕЛЬНОСТНОГО ПОДХОДА В ОБУЧЕНИИ </w:t>
      </w:r>
    </w:p>
    <w:p w:rsidR="00281348" w:rsidRPr="00AC57D6" w:rsidRDefault="00281348" w:rsidP="00281348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348" w:rsidRPr="00AC57D6" w:rsidRDefault="00281348" w:rsidP="00281348">
      <w:pPr>
        <w:spacing w:before="2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57D6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</w:p>
    <w:p w:rsidR="00281348" w:rsidRPr="00AC57D6" w:rsidRDefault="00281348" w:rsidP="00281348">
      <w:pPr>
        <w:spacing w:before="2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государственные стандарты в настоящее время нацеливают педагога-словесника организовать обучение, способствующее формированию не только читательской грамотности, но и позитивного опыта в решении познавательных, нравственных, социальных, коммуникативных и др. проблем. Цель учителя-словесника - выявить наиболее эффективные и экспериментально проверенные методы и приёмы работы по формированию навыков смыслового чтения, способствующих развитию </w:t>
      </w:r>
      <w:proofErr w:type="spellStart"/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учащихся на уроках литературы.</w:t>
      </w:r>
    </w:p>
    <w:p w:rsidR="00281348" w:rsidRPr="00AC57D6" w:rsidRDefault="00281348" w:rsidP="00281348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C57D6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AC57D6">
        <w:rPr>
          <w:rFonts w:ascii="Times New Roman" w:eastAsia="Calibri" w:hAnsi="Times New Roman" w:cs="Times New Roman"/>
          <w:iCs/>
          <w:sz w:val="28"/>
          <w:szCs w:val="28"/>
        </w:rPr>
        <w:t xml:space="preserve">художественный текст, </w:t>
      </w:r>
      <w:r w:rsidRPr="00502C67">
        <w:rPr>
          <w:rFonts w:ascii="Times New Roman" w:eastAsia="Calibri" w:hAnsi="Times New Roman" w:cs="Times New Roman"/>
          <w:iCs/>
          <w:sz w:val="28"/>
          <w:szCs w:val="28"/>
        </w:rPr>
        <w:t>кейс –</w:t>
      </w:r>
      <w:r w:rsidR="0093430C">
        <w:rPr>
          <w:rFonts w:ascii="Times New Roman" w:eastAsia="Calibri" w:hAnsi="Times New Roman" w:cs="Times New Roman"/>
          <w:iCs/>
          <w:sz w:val="28"/>
          <w:szCs w:val="28"/>
        </w:rPr>
        <w:t xml:space="preserve"> технология, проблемный вопрос, </w:t>
      </w:r>
      <w:r w:rsidRPr="00AC57D6">
        <w:rPr>
          <w:rFonts w:ascii="Times New Roman" w:eastAsia="Calibri" w:hAnsi="Times New Roman" w:cs="Times New Roman"/>
          <w:iCs/>
          <w:sz w:val="28"/>
          <w:szCs w:val="28"/>
        </w:rPr>
        <w:t xml:space="preserve">читательская интерпретация, аналитическая беседа, </w:t>
      </w:r>
      <w:r w:rsidRPr="00502C67">
        <w:rPr>
          <w:rFonts w:ascii="Times New Roman" w:eastAsia="Calibri" w:hAnsi="Times New Roman" w:cs="Times New Roman"/>
          <w:iCs/>
          <w:sz w:val="28"/>
          <w:szCs w:val="28"/>
        </w:rPr>
        <w:t xml:space="preserve">метод ситуационного анализа </w:t>
      </w:r>
      <w:proofErr w:type="spellStart"/>
      <w:r w:rsidRPr="00AC57D6">
        <w:rPr>
          <w:rFonts w:ascii="Times New Roman" w:eastAsia="Calibri" w:hAnsi="Times New Roman" w:cs="Times New Roman"/>
          <w:iCs/>
          <w:sz w:val="28"/>
          <w:szCs w:val="28"/>
        </w:rPr>
        <w:t>метапредметность</w:t>
      </w:r>
      <w:proofErr w:type="spellEnd"/>
      <w:r w:rsidRPr="00AC57D6">
        <w:rPr>
          <w:rFonts w:ascii="Times New Roman" w:eastAsia="Calibri" w:hAnsi="Times New Roman" w:cs="Times New Roman"/>
          <w:iCs/>
          <w:sz w:val="28"/>
          <w:szCs w:val="28"/>
        </w:rPr>
        <w:t>, рефлексия.</w:t>
      </w:r>
    </w:p>
    <w:p w:rsidR="00281348" w:rsidRPr="00AC57D6" w:rsidRDefault="00281348" w:rsidP="00281348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AC57D6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Key words</w:t>
      </w:r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: a literary</w:t>
      </w:r>
      <w:r w:rsidRPr="00502C6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text</w:t>
      </w:r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reception of </w:t>
      </w:r>
      <w:proofErr w:type="spellStart"/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antipation</w:t>
      </w:r>
      <w:proofErr w:type="spellEnd"/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reader’s interpretation, analytical conservation, the </w:t>
      </w:r>
      <w:proofErr w:type="spellStart"/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metasubjects</w:t>
      </w:r>
      <w:proofErr w:type="spellEnd"/>
      <w:r w:rsidRPr="00AC57D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, reflection</w:t>
      </w:r>
    </w:p>
    <w:p w:rsidR="00281348" w:rsidRPr="00AC57D6" w:rsidRDefault="00281348" w:rsidP="00281348">
      <w:pPr>
        <w:spacing w:before="20" w:after="20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281348" w:rsidRPr="00502C67" w:rsidRDefault="00281348" w:rsidP="00281348">
      <w:pPr>
        <w:spacing w:after="0" w:line="276" w:lineRule="auto"/>
        <w:ind w:firstLine="709"/>
        <w:jc w:val="both"/>
        <w:rPr>
          <w:rStyle w:val="c1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3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0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Общество в современном мире находится </w:t>
      </w:r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стадии информационного развития, </w:t>
      </w:r>
      <w:r w:rsidRPr="0050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темп жизни ускоряется, </w:t>
      </w:r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приобщение детей к чтению, к диалогу с автором и книгой стало процессом трудоёмким, к сожалению. </w:t>
      </w:r>
      <w:r w:rsidRPr="0050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ведь у</w:t>
      </w:r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 литературы – это</w:t>
      </w:r>
      <w:r w:rsidRPr="0050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важная основа  формирования   нравственного </w:t>
      </w:r>
      <w:r w:rsidRPr="00AC5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 </w:t>
      </w:r>
      <w:r w:rsidRPr="0050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учащихся.</w:t>
      </w:r>
      <w:r w:rsidRPr="00502C67">
        <w:rPr>
          <w:rStyle w:val="c1"/>
          <w:sz w:val="28"/>
          <w:szCs w:val="28"/>
        </w:rPr>
        <w:t xml:space="preserve"> В настоящее время учителя-словесники стремятся</w:t>
      </w:r>
      <w:r w:rsidRPr="00502C67">
        <w:rPr>
          <w:rStyle w:val="c1"/>
          <w:b/>
          <w:sz w:val="28"/>
          <w:szCs w:val="28"/>
        </w:rPr>
        <w:t xml:space="preserve"> </w:t>
      </w:r>
      <w:r w:rsidRPr="00502C67">
        <w:rPr>
          <w:rStyle w:val="c1"/>
          <w:sz w:val="28"/>
          <w:szCs w:val="28"/>
        </w:rPr>
        <w:t xml:space="preserve">к </w:t>
      </w: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 общих компетенций, а не отвлечённых знаний, умений, навыков обучающихся.  Важно, чтобы знания на уроке ученики получали не в готовом виде,  а добывали в результате самостоятельной и активной деятельности.</w:t>
      </w:r>
    </w:p>
    <w:p w:rsidR="00281348" w:rsidRPr="00502C67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Style w:val="c1"/>
          <w:sz w:val="28"/>
          <w:szCs w:val="28"/>
        </w:rPr>
        <w:t xml:space="preserve">     </w:t>
      </w: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реализации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литературе, как показывает практика, часто служит  метод активного проблемно-ситуационного анализа, основанный на обучении путём решения конкретных задач-ситуаций (кейсов), заранее разработанных учителем. Использование кейс - технологии даёт возможность активизировать не только </w:t>
      </w: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познавательную, но и творческую деятельность учащихся. 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вклад в разработку и внедрение этой технологии внесли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Г.А.Брянский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Ю.Ю. Екатеринославский, О.В. Козлова, Ю.Д. Красовский, В.Я. Платов, Д.А. Поспелов, О.А. Овсянников, В.С. 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Рапоппорт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 Содержательны и методические работы учителей, в которых представлено описание конкретных уроков, построенных на  основе использования кейс – технологии.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(О.В. Жданова, Иванова Т. М.  и др.).</w:t>
      </w:r>
    </w:p>
    <w:p w:rsidR="00281348" w:rsidRPr="00502C67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последнее время все больше говорится об использовании кейс - технологий в общеобразовательных школах, в частности, в форме проведения сетевых уроков. Но далеко не всегда кейс метод предполагает использование компьютерного обеспечения, так как в пакете заданий может содержаться вся необходимая для анализа информация (иногда даже информации дается больше, чем нужно, чтобы учащиеся умели отделять 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ненужной, главное от второстепенного). Проблемные вопросы, практические задачи, материал для сравнения, разрешение противоречий – основа работы на уроках литературы, способная  сформировать универсальные учебные действия, индивидуализировать учебный процесс.    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научно-методической литературе можно встретить  различные  названия данной технологии: «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Casemethod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«Кейс-метод», «</w:t>
      </w:r>
      <w:proofErr w:type="spellStart"/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ase-study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«Кейс-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 «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Сasestudy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«Кейс-технология», «Метод ситуационного анализа», «Метод конкретных ситуаций», «Метод анализа конкретных учебных ситуаций», «Метод проблемно-ситуационного анализа» и др. Какое бы название мы ни использовали, сущность  данной технологии – изучение общих закономерностей на примере анализа конкретного случая. В обучении  литературе таким «случаем» является художественный текст, который должны постичь ученики, анализируя его содержание,  решить аналитическим способом сложные ситуации, получить новые знания и умения.  «Кейс» - это набор средств и нужной информации, необходимой для   принятия решения, разрешения проблемной ситуации и выбора определённой позиции в заданном поле деятельности. Также важно отметить, что кейс-технология даёт возможность учащимся приблизиться к практике, непосредственно анализировать художественный текст, выявлять его содержание и использовать полученные знания для достижения поставленной цели урока. У учеников есть уникальная возможность  проанализировать предложенную ситуацию, разобраться в сути проблемы, самостоятельно продумать и предложить возможные решения проблемы, опираясь на собственный опыт и знания. Результат решения кейсов может быть представлен в виде доклада, отзыва, презентации, буклета, защиты проекта, сочинения, эссе, устного выступления и др. 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Использование кейс - технологии  в процессе обучения  литературе оправдано также тем, что обучающиеся получают возможность  работать в сотрудничестве, коллективно, благодаря чему формируются  собственные умения анализировать, аргументированно представлять свою точку зрения, применять логические универсальные учебные действия, а также  практические умения решать проблемы в реальной жизни.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Представим, какие именно навыки можно сформировать и развить при использовании кейс - технологии на уроках литературы: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проблемы и её решение, отбор сре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цели (формирование навыков анализа и критического мышления, умений решать сложные вопросы);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с информацией (осмысление деталей, представленных для работы, анализ и синтез выбранной информации, поиск аргументов, сопоставление предположений и заключений, оценка результатов);</w:t>
      </w: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компетентность в общении (формирование умений слушать, слышать, понимать других представителей «команды», участвовать в диалоге, выражать и доказывать, обосновывать свою точку зрения, принимать другие позиции и мнения, способностей сообща действовать ради достижения поставленной цели);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определённых решений, ответственность за принятое решение (самостоятельность мышления, уверенность в себе).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качестве примера использования кейс - технологии на уроке литературы представим изучение главы «Тамань» М. Ю. Лермонтова. Глава является заключительной и воспринимается как самостоятельное произведение. Сюжет поражает необычными событиями и подталкивает читателей к размышлениям о человеческой судьбе. Многие ребята на этом этапе уже значительно заинтересованы произведением и образом главного героя Печорина, и, как показывает практика, такой метод работы, оставляет очень яркий след от романа «Герой нашего времени»  в душе и памяти подростков.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Класс делится на творческие группы, каждой группе  дан свой «кейс», набор заданий, выполняя которые, учащиеся самостоятельно под руководством ответственного организуют учебно-познавательную и исследовательскую деятельность.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Создавая «Кейс» для каждой группы стоит отметить, что художественная литература, в данном случае конкретное произведение, и задачи, которые ставит учитель перед изучением художественного текста,  сами подсказывают идеи, помогают определить сюжетную канву «кейса». Так, изучая главу «Фаталист», важно, чтобы   читатели познакомились  с понятиями «фаталист», «фатальный», «предопределение», сравнили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Печорина и выявили общее и различное в их образах, характерах, с помощью средств художественной выразительности представили словесный портрет Печорина и смогли прокомментировать, в чем трагедия героя.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Представим содержание «кейса» для каждой творческой группы в таблице в соответствии с поставленными задачами урока «Зачем я жил? Для какой цели я родился?»</w:t>
      </w: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48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48" w:rsidRPr="00502C67" w:rsidRDefault="00281348" w:rsidP="00281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1348" w:rsidTr="009D07EA">
        <w:tc>
          <w:tcPr>
            <w:tcW w:w="2943" w:type="dxa"/>
          </w:tcPr>
          <w:p w:rsidR="00281348" w:rsidRPr="00A77FAB" w:rsidRDefault="00281348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 урока</w:t>
            </w:r>
          </w:p>
        </w:tc>
        <w:tc>
          <w:tcPr>
            <w:tcW w:w="6628" w:type="dxa"/>
          </w:tcPr>
          <w:p w:rsidR="00281348" w:rsidRPr="00A77FAB" w:rsidRDefault="00281348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«кейса» для творческой группы № 1</w:t>
            </w:r>
          </w:p>
        </w:tc>
      </w:tr>
      <w:tr w:rsidR="00281348" w:rsidTr="009D07EA">
        <w:trPr>
          <w:trHeight w:val="5812"/>
        </w:trPr>
        <w:tc>
          <w:tcPr>
            <w:tcW w:w="2943" w:type="dxa"/>
          </w:tcPr>
          <w:p w:rsidR="00281348" w:rsidRPr="00337838" w:rsidRDefault="00281348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281348" w:rsidRDefault="00281348" w:rsidP="009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философскими понятиями «судьба–фатализм–рок–случайность, поразмышлять на примере героев художественного произведения, возможно ли человеку руководить своей жизнью.</w:t>
            </w:r>
          </w:p>
          <w:p w:rsidR="00281348" w:rsidRPr="00BA1C62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81348" w:rsidRPr="00337838" w:rsidRDefault="00281348" w:rsidP="009D07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понятиями</w:t>
            </w:r>
            <w:r>
              <w:t xml:space="preserve"> «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фатум» – судьба, </w:t>
            </w:r>
          </w:p>
          <w:p w:rsidR="00281348" w:rsidRPr="00FA539A" w:rsidRDefault="00281348" w:rsidP="009D07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предопределенный роком, судьбой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81348" w:rsidRPr="00FA539A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мистическая вера в неотвратимость судьбы, в то, что в этом мире все заранее предопределено судьбой, роком</w:t>
            </w:r>
          </w:p>
          <w:p w:rsidR="00281348" w:rsidRPr="00FA539A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«фаталист»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человек, проникнутый фатализмом,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верящий в предопределение свыше. (Можно дать разрознено определения и понятия, чтобы ребята нашли соответствие)</w:t>
            </w:r>
          </w:p>
          <w:p w:rsidR="00281348" w:rsidRPr="00337838" w:rsidRDefault="00281348" w:rsidP="009D07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Сравнительная характеристика </w:t>
            </w:r>
            <w:proofErr w:type="spellStart"/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Вулича</w:t>
            </w:r>
            <w:proofErr w:type="spellEnd"/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Печорина:</w:t>
            </w:r>
          </w:p>
          <w:p w:rsidR="00281348" w:rsidRDefault="00281348" w:rsidP="009D07E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FA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ите, 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Печорин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(подбор цитат обязательно)</w:t>
            </w:r>
          </w:p>
          <w:p w:rsidR="00281348" w:rsidRDefault="00281348" w:rsidP="009D07E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чём эти герои различны?</w:t>
            </w:r>
          </w:p>
          <w:p w:rsidR="00281348" w:rsidRDefault="00281348" w:rsidP="009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Используйте материал по ссылке для работы:</w:t>
            </w:r>
          </w:p>
          <w:p w:rsidR="00281348" w:rsidRDefault="00281348" w:rsidP="009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1348" w:rsidRDefault="0093430C" w:rsidP="009D07E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281348" w:rsidRPr="001D555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https://harakteristikaaa.ru/sravnitelnaya-xarakteristika-pechorina-i-vulicha/</w:t>
              </w:r>
            </w:hyperlink>
          </w:p>
          <w:p w:rsidR="00281348" w:rsidRPr="00CF4F12" w:rsidRDefault="00281348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348" w:rsidTr="00865504">
        <w:trPr>
          <w:trHeight w:val="6281"/>
        </w:trPr>
        <w:tc>
          <w:tcPr>
            <w:tcW w:w="2943" w:type="dxa"/>
          </w:tcPr>
          <w:p w:rsidR="00281348" w:rsidRPr="00337838" w:rsidRDefault="00281348" w:rsidP="009D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учащимися причины трагической обречённости Печорина и его поколения, выяв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авторского отношения к ге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рою</w:t>
            </w:r>
          </w:p>
          <w:p w:rsidR="00281348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Pr="00BA1C62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81348" w:rsidRDefault="00281348" w:rsidP="002813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 словесный портрет, образ П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главе «Фаталист», используя цитаты.</w:t>
            </w:r>
          </w:p>
          <w:p w:rsidR="00281348" w:rsidRDefault="00281348" w:rsidP="002813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в тексте средства художественной выразительности, помогающие писателю показать, а читателю увидеть черты характера Печорина.</w:t>
            </w:r>
          </w:p>
          <w:p w:rsidR="00281348" w:rsidRDefault="00281348" w:rsidP="002813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какому герою относятся эти высказывания: 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«холодная улыбка»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«беспокойное и жадное воображение»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 я читал печать смерти на бледном лице его»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281348" w:rsidRDefault="00281348" w:rsidP="009D07EA">
            <w:pPr>
              <w:pStyle w:val="a4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выразительности их можно отнести?</w:t>
            </w:r>
          </w:p>
          <w:p w:rsidR="00281348" w:rsidRDefault="00281348" w:rsidP="009D07EA">
            <w:pPr>
              <w:pStyle w:val="a4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Какова роль средств выразительности в тексте?</w:t>
            </w:r>
          </w:p>
          <w:p w:rsidR="00281348" w:rsidRDefault="00281348" w:rsidP="009D07EA">
            <w:pPr>
              <w:pStyle w:val="a4"/>
              <w:ind w:left="43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 ответить на вопрос, используя  материал по ссылке):</w:t>
            </w:r>
            <w:r>
              <w:t xml:space="preserve">    </w:t>
            </w:r>
          </w:p>
          <w:p w:rsidR="00281348" w:rsidRPr="003144C5" w:rsidRDefault="00281348" w:rsidP="009D07EA">
            <w:pPr>
              <w:pStyle w:val="a4"/>
              <w:ind w:left="435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144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https://nsportal.ru/ap/library/literaturnoe-tvorchestvo/2023/02/16/hudozhestvennye-sredstva-vyrazitelnosti-v-romane-m-yu</w:t>
            </w:r>
            <w:r w:rsidRPr="003144C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281348" w:rsidRDefault="00281348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504" w:rsidTr="009D07EA">
        <w:trPr>
          <w:trHeight w:val="191"/>
        </w:trPr>
        <w:tc>
          <w:tcPr>
            <w:tcW w:w="2943" w:type="dxa"/>
            <w:vMerge w:val="restart"/>
          </w:tcPr>
          <w:p w:rsidR="00865504" w:rsidRDefault="00865504" w:rsidP="0086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5504" w:rsidRPr="00337838" w:rsidRDefault="00865504" w:rsidP="0086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учащимися причины трагической обречённости Печорина и его поколения, выяв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авторского отношения к ге</w:t>
            </w:r>
            <w:r w:rsidRPr="00337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рою</w:t>
            </w:r>
          </w:p>
          <w:p w:rsidR="00865504" w:rsidRDefault="00865504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865504" w:rsidRDefault="00865504" w:rsidP="009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348" w:rsidTr="009D07EA">
        <w:trPr>
          <w:trHeight w:val="523"/>
        </w:trPr>
        <w:tc>
          <w:tcPr>
            <w:tcW w:w="2943" w:type="dxa"/>
            <w:vMerge/>
          </w:tcPr>
          <w:p w:rsidR="00281348" w:rsidRDefault="00281348" w:rsidP="009D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81348" w:rsidRDefault="00281348" w:rsidP="002813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Ответьте на вопрос, приводя цитаты из текста в качестве подтверждения своей позиции:</w:t>
            </w:r>
          </w:p>
          <w:p w:rsidR="00281348" w:rsidRDefault="00281348" w:rsidP="009D07E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Печорин – фаталист?</w:t>
            </w:r>
          </w:p>
          <w:p w:rsidR="00281348" w:rsidRDefault="00281348" w:rsidP="0028134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двух высказываний вы взяли бы в качестве эпиграфа к нашему уроку? Почему?</w:t>
            </w:r>
          </w:p>
          <w:p w:rsidR="00281348" w:rsidRPr="00F45E0C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t xml:space="preserve"> </w:t>
            </w: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или не быть?</w:t>
            </w:r>
          </w:p>
          <w:p w:rsidR="00281348" w:rsidRPr="00F45E0C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в чём вопрос.</w:t>
            </w:r>
          </w:p>
          <w:p w:rsidR="00281348" w:rsidRPr="00F45E0C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Достойно ли смириться </w:t>
            </w:r>
          </w:p>
          <w:p w:rsidR="00281348" w:rsidRPr="00F45E0C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 ударами судьбы,</w:t>
            </w:r>
          </w:p>
          <w:p w:rsidR="00281348" w:rsidRPr="00F45E0C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 стоит оказать сопротивленье…</w:t>
            </w:r>
          </w:p>
          <w:p w:rsidR="00281348" w:rsidRDefault="00281348" w:rsidP="009D07E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У. Шекспир</w:t>
            </w:r>
          </w:p>
          <w:p w:rsidR="00281348" w:rsidRPr="003144C5" w:rsidRDefault="00281348" w:rsidP="009D07E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>
              <w:t xml:space="preserve"> </w:t>
            </w:r>
            <w:r w:rsidRPr="0004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должен принять свою судьбу. (Татьяна Павленко)</w:t>
            </w:r>
          </w:p>
          <w:p w:rsidR="00281348" w:rsidRPr="003144C5" w:rsidRDefault="00281348" w:rsidP="009D07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грани душевной трагедии Печорина, комментируя выделенные слова текста:</w:t>
            </w:r>
          </w:p>
          <w:p w:rsidR="00281348" w:rsidRDefault="00281348" w:rsidP="009D0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первой молодости моей я был мечтателем</w:t>
            </w:r>
            <w:proofErr w:type="gramStart"/>
            <w:r w:rsidR="00934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bookmarkStart w:id="0" w:name="_GoBack"/>
            <w:bookmarkEnd w:id="0"/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что от этого мне </w:t>
            </w:r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осталось?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одна </w:t>
            </w:r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усталость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после ночной битвы с привидением, и </w:t>
            </w:r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смутное воспоминание, исполненное сожалений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этой </w:t>
            </w:r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напрасной борьбе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proofErr w:type="gramStart"/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истощил</w:t>
            </w:r>
            <w:proofErr w:type="gramEnd"/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жар души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постоянство воли,.. Я вступил в эту жизнь, пережив ее уже мысленно, и мне стало </w:t>
            </w:r>
            <w:r w:rsidRPr="00314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скучно и гадко</w:t>
            </w:r>
            <w:r w:rsidRPr="00314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281348" w:rsidRPr="000465B9" w:rsidRDefault="00281348" w:rsidP="009D07E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чём трагедия Печорина?</w:t>
            </w:r>
          </w:p>
        </w:tc>
      </w:tr>
    </w:tbl>
    <w:p w:rsidR="00281348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Время выполнения заданий 15–20 минут. Ответственный каждой группы распределяет индивидуальные задания, так как в начале урока учитель обязательным условием обозначает участие в работе каждого ученика. И если групповая форма работы учащихся на уроках литературы проводится в системе, то времени на это уходит немного. </w:t>
      </w:r>
    </w:p>
    <w:p w:rsidR="00281348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окончании работы каждая творческая группа представляет результаты своего труда, поиска, размышлений, работы с текстом. Представители каждой группы внимательно друг друга слушают, оценивают и задают вопрос. Главное, что, выполняя качественно такую работу, ребята понимают, что они движутся в одном направлении, раскрывают своей деятельностью художественную идею произведения, реализовывают общую цель, поставленную в начале урока.</w:t>
      </w:r>
    </w:p>
    <w:p w:rsidR="00281348" w:rsidRDefault="00281348" w:rsidP="0028134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Так, представляя работу,  ребята 1 группы правильно обозначили сходства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Печорина, указав на то, что «</w:t>
      </w:r>
      <w:proofErr w:type="spellStart"/>
      <w:r w:rsidRPr="001D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</w:t>
      </w:r>
      <w:proofErr w:type="spellEnd"/>
      <w:r w:rsidRPr="001D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 страстей, а Печорин, обладающий сильной волей,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даёт себе покориться страстям». Также совершенно верно были определены и сходства героев:</w:t>
      </w:r>
      <w:r w:rsidRPr="001D314F">
        <w:t xml:space="preserve"> </w:t>
      </w:r>
    </w:p>
    <w:p w:rsidR="00281348" w:rsidRPr="001D314F" w:rsidRDefault="00281348" w:rsidP="00281348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1D314F">
        <w:rPr>
          <w:sz w:val="28"/>
          <w:szCs w:val="28"/>
        </w:rPr>
        <w:t xml:space="preserve">у них обоих замкнутый характер; </w:t>
      </w:r>
    </w:p>
    <w:p w:rsidR="00281348" w:rsidRPr="001D314F" w:rsidRDefault="00281348" w:rsidP="0028134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314F">
        <w:rPr>
          <w:sz w:val="28"/>
          <w:szCs w:val="28"/>
        </w:rPr>
        <w:t>их обоих волнует вечный вопрос о судьбе;</w:t>
      </w:r>
    </w:p>
    <w:p w:rsidR="00281348" w:rsidRPr="001D314F" w:rsidRDefault="00281348" w:rsidP="0028134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314F">
        <w:rPr>
          <w:sz w:val="28"/>
          <w:szCs w:val="28"/>
        </w:rPr>
        <w:t>они способны подчинять своей воле людей;</w:t>
      </w:r>
    </w:p>
    <w:p w:rsidR="00281348" w:rsidRPr="001D314F" w:rsidRDefault="00281348" w:rsidP="0028134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314F">
        <w:rPr>
          <w:sz w:val="28"/>
          <w:szCs w:val="28"/>
        </w:rPr>
        <w:lastRenderedPageBreak/>
        <w:t xml:space="preserve"> оба любят рисковать;</w:t>
      </w:r>
    </w:p>
    <w:p w:rsidR="00281348" w:rsidRPr="001D314F" w:rsidRDefault="00281348" w:rsidP="0028134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314F">
        <w:rPr>
          <w:sz w:val="28"/>
          <w:szCs w:val="28"/>
        </w:rPr>
        <w:t xml:space="preserve">страсть к игре; </w:t>
      </w:r>
    </w:p>
    <w:p w:rsidR="00281348" w:rsidRPr="001D314F" w:rsidRDefault="00281348" w:rsidP="00281348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1D314F">
        <w:rPr>
          <w:sz w:val="28"/>
          <w:szCs w:val="28"/>
        </w:rPr>
        <w:t>на героические поступки.</w:t>
      </w:r>
    </w:p>
    <w:p w:rsidR="00281348" w:rsidRDefault="00281348" w:rsidP="00281348">
      <w:pPr>
        <w:spacing w:after="0" w:line="240" w:lineRule="auto"/>
      </w:pPr>
    </w:p>
    <w:p w:rsidR="00281348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второй группы правильно определили  средства выразительности, а главное – указали на их роль в раскрытии образа Печорина.  Такая работа помогла ребятам представить словесный портрет героя в данной главе.</w:t>
      </w:r>
    </w:p>
    <w:p w:rsidR="00281348" w:rsidRPr="00502C67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качестве завершающих «штрихов» была представлена работа 3 группы, основанная на работе с проблемными вопросами и общими выводами по уроку. Был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 ответ на один из главных вопросов, что фаталистом нельзя назвать Печорина, так как «</w:t>
      </w:r>
      <w:r w:rsidRPr="007F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Печорин любит сомневаться во всем, поэтому он воздерживается от прямолинейного суждения о том, существует ли предопределение или нет. Но герой приходит к выводу, что при любых обстоятельствах нужно действовать, проявлять свою волю и решимость. Быть или не быть? Быть!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7F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Размышления Печорина под открытым небом нас убеждают в том, что герой, на словах согласившийся с существованием фатума, проявленного как будто в испытании </w:t>
      </w:r>
      <w:proofErr w:type="spellStart"/>
      <w:r w:rsidRPr="007F1A4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Вулича</w:t>
      </w:r>
      <w:proofErr w:type="spellEnd"/>
      <w:r w:rsidRPr="007F1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продолжает сопротивляться этой идее. Печорин не верит, что существует высшая сила, управляющая движениями людей. Воля, действие, оказываются возможными в человеке, у которого есть воля и цель. Потомки, не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рящие в судьбу, не верят в себя:</w:t>
      </w:r>
      <w:r w:rsidRPr="007F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мы, не жалкие потомки, скитающиеся по земле без убеждений и гордости, без наслаждения и страха… Мы не способны более к великим жертвам не для блага человечества, ни даже для собственного нашего счастья, потому что знаем его невозможность и равнодушно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еходим от сомнения к сомнению…».  Так удачно ребята сопоставили ответ на вопрос «Печорин – фаталист?»  и перешли к выбору нужного эпиграфа к уроку. И, конечно, было сказано главное, что трагедия Печорина – это трагедия лишних людей, для которых в окружающем обществе не находилось ни места, ни дела.  Сложность и противоречивость характера, эгоизм, «способность» разрушать судьбы людей,   постоянные сомнения и нравственные терзания, одиночество, на которое обрекает себя сам Печорин, не умея и не желая жертвовать ни в любви, ни в дружбе. Такой урок будет значимым предваряющим этапом подготовки к сочинению</w:t>
      </w:r>
    </w:p>
    <w:p w:rsidR="00281348" w:rsidRPr="005667FD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к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ейс-технология – это интерактивная технология обучения на основе реальных или вымышле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ситуаций, направленная не 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на освоение знаний, но и 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учащихся новых качеств и умений, на сотворчество учителя и ученика. Непосредственная цель этой технологии: совместными усилиями группы проанализировать ситуацию и выработать практическое решение; окончание процесса – оценка представленных вариантов в контексте поставленной проблемы. Образовательный эффект </w:t>
      </w:r>
      <w:proofErr w:type="gramStart"/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следующем:</w:t>
      </w:r>
    </w:p>
    <w:p w:rsidR="00281348" w:rsidRPr="005667FD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Развиваются навыки, необходимые в реальной жизни: умение работать с информацией, систематизировать, анализировать, принимать решения;</w:t>
      </w:r>
    </w:p>
    <w:p w:rsidR="00281348" w:rsidRPr="005667FD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Повышается мотивация к учению, к поиску новой информации;</w:t>
      </w:r>
    </w:p>
    <w:p w:rsidR="00281348" w:rsidRPr="005667FD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Формируется умение обосновывать и защищать свою точку зрения</w:t>
      </w:r>
    </w:p>
    <w:p w:rsidR="00281348" w:rsidRPr="005667FD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gramStart"/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моим ученикам сочетать учебную деятельность с игрой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творчеством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мне получить устойчивую мотивацию к обучению со стороны учащихся. Эта технология уменьшает количество пассивных и неуверенных в себе учеников, так как каждому приходится вырабатывать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какой-то проблеме, а также д</w:t>
      </w:r>
      <w:r w:rsidRPr="00566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мне возможность совершенствоваться, по-другому действовать и мыслить, обновлять свой творческий потенциал.</w:t>
      </w:r>
    </w:p>
    <w:p w:rsidR="00281348" w:rsidRPr="00502C67" w:rsidRDefault="00281348" w:rsidP="00281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8" w:rsidRDefault="00281348" w:rsidP="00281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BC" w:rsidRDefault="002B4FBC"/>
    <w:sectPr w:rsidR="002B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448"/>
    <w:multiLevelType w:val="hybridMultilevel"/>
    <w:tmpl w:val="68445DC0"/>
    <w:lvl w:ilvl="0" w:tplc="919C9CF2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3905E2"/>
    <w:multiLevelType w:val="hybridMultilevel"/>
    <w:tmpl w:val="8BAA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1CBD"/>
    <w:multiLevelType w:val="hybridMultilevel"/>
    <w:tmpl w:val="7E70FDEE"/>
    <w:lvl w:ilvl="0" w:tplc="5ECC4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9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EA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2A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2E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C7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88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ED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B26193"/>
    <w:multiLevelType w:val="hybridMultilevel"/>
    <w:tmpl w:val="7A7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A1"/>
    <w:rsid w:val="00281348"/>
    <w:rsid w:val="002B4FBC"/>
    <w:rsid w:val="007A67A1"/>
    <w:rsid w:val="00865504"/>
    <w:rsid w:val="008B4488"/>
    <w:rsid w:val="009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8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348"/>
  </w:style>
  <w:style w:type="table" w:styleId="a3">
    <w:name w:val="Table Grid"/>
    <w:basedOn w:val="a1"/>
    <w:uiPriority w:val="39"/>
    <w:rsid w:val="0028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28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1348"/>
  </w:style>
  <w:style w:type="table" w:styleId="a3">
    <w:name w:val="Table Grid"/>
    <w:basedOn w:val="a1"/>
    <w:uiPriority w:val="39"/>
    <w:rsid w:val="0028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3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1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akteristikaaa.ru/sravnitelnaya-xarakteristika-pechorina-i-vulic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2023-03-24T23:06:00Z</dcterms:created>
  <dcterms:modified xsi:type="dcterms:W3CDTF">2023-10-11T14:29:00Z</dcterms:modified>
</cp:coreProperties>
</file>